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Arial;Helvetica;Sans-Serif" w:hAnsi="Arial;Helvetica;Sans-Serif"/>
          <w:b w:val="false"/>
          <w:i w:val="false"/>
          <w:caps w:val="false"/>
          <w:smallCaps w:val="false"/>
          <w:sz w:val="20"/>
        </w:rPr>
      </w:pPr>
      <w:bookmarkStart w:id="0" w:name="e26319_wtrg-425.htm"/>
      <w:bookmarkStart w:id="1" w:name="kse26319_wtrg425"/>
      <w:bookmarkEnd w:id="0"/>
      <w:bookmarkEnd w:id="1"/>
      <w:r>
        <w:rPr>
          <w:rFonts w:ascii="Arial;Helvetica;Sans-Serif" w:hAnsi="Arial;Helvetica;Sans-Serif"/>
          <w:b w:val="false"/>
          <w:i w:val="false"/>
          <w:caps w:val="false"/>
          <w:smallCaps w:val="false"/>
          <w:sz w:val="20"/>
        </w:rPr>
        <w:t>Filed by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Rule 425 under the Securities Act of 1933</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and deemed filed pursuant to Rule 14a-6(b)</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Securities Exchange Act of 1934</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Company: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No.: 001-06659</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July 31, 2026</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TO:</w:t>
      </w:r>
      <w:r>
        <w:rPr>
          <w:rFonts w:ascii="Arial;Helvetica;Sans-Serif" w:hAnsi="Arial;Helvetica;Sans-Serif"/>
          <w:b w:val="false"/>
          <w:i w:val="false"/>
          <w:caps w:val="false"/>
          <w:smallCaps w:val="false"/>
          <w:sz w:val="20"/>
        </w:rPr>
        <w:t xml:space="preserve"> All Essential Employees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FROM:</w:t>
      </w:r>
      <w:r>
        <w:rPr>
          <w:rFonts w:ascii="Arial;Helvetica;Sans-Serif" w:hAnsi="Arial;Helvetica;Sans-Serif"/>
          <w:b w:val="false"/>
          <w:i w:val="false"/>
          <w:caps w:val="false"/>
          <w:smallCaps w:val="false"/>
          <w:sz w:val="20"/>
        </w:rPr>
        <w:t xml:space="preserve"> Chris Franklin</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SUBJECT:</w:t>
      </w:r>
      <w:r>
        <w:rPr>
          <w:rFonts w:ascii="Arial;Helvetica;Sans-Serif" w:hAnsi="Arial;Helvetica;Sans-Serif"/>
          <w:b w:val="false"/>
          <w:i w:val="false"/>
          <w:caps w:val="false"/>
          <w:smallCaps w:val="false"/>
          <w:sz w:val="20"/>
        </w:rPr>
        <w:t xml:space="preserve"> Integration Planning Update – Organizational Update, Branding, &amp; Town Hall</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Colleagues,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integration planning efforts continue, I wanted to share three important updates with all of you related to the next level of combined company leadership, branding, and next week’s town hall.</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Organizational Update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very close to communicating the next level (three levels down from the CEO) of employees within the future combined organization.  Senior leaders will be reaching out to individuals within a few weeks. Once these conversations are complete, we will start the process of identifying the following level (four levels down from the CEO) – which we will work on through the summer. I am confident that our internal teams and our consultants are thoughtfully working to make decisions and communicate as quickly as possible.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Branding</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Earlier this week, American Water shared with employees the progress they are making in planning for the combined company and using the American Water brand. As we bring together employees, customers and communities post-closing, we will want this brand to reflect a one-team culture, clearly explain the benefits of the combined company’s large scale and expertise, honor its local presence and help employees see how they can grow and contribute within the combined organization.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Essential Utilities’ brands specifically, Peoples will continue to move forward under its existing brand, with the “An Essential Utility Company” endorsement removed following the merger. Aqua states are expected to transition to the American Water brand through an expedited, phased approach, helping create a clearer and more consistent experience for employees, customers, and stakeholders.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Branding Core Integration Team continues to take a thoughtful and strategic approach to this work, and we will share more details as plans are finalized.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Town Hall Update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Additionally, I want to remind you that our town hall that’s scheduled for next week on August 5 is our regularly scheduled quarterly town hall to align with our Q2 earnings release. In addition to the financial update, we’ll provide an update on our merger activities as well.  If you have any business/earnings related questions you’d like to submit, please email […].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Thank you for your continued work and dedication to help us safely and reliably deliver Earth’s most essential resources to our customers and communities.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Best,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Chris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Cautionary Statement Regarding Forward-Looking Statements</w:t>
      </w:r>
      <w:r>
        <w:rPr>
          <w:rFonts w:ascii="Arial;Helvetica;Sans-Serif" w:hAnsi="Arial;Helvetica;San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Proposed Merger</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 Offer or Solicitation</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1814</Words>
  <Characters>10574</Characters>
  <CharactersWithSpaces>12404</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