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52711d425.htm"/>
      <w:bookmarkStart w:id="1" w:name="ksd152711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July 29,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statement regarding the merger between American Water Works Company, Inc. (“American Water”) and Essential Utilities, Inc. (“Essential Utilities”) was included in American Water’s earnings press release issued on July 29,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Progress continues on proposed merger with Essential Utilities; three states have approved, settlement in principle reached in Texas, and integration planning progressing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and Essential Utilities was included in earnings materials first made public by American Water on July 29, 2026. </w:t>
      </w:r>
    </w:p>
    <w:p>
      <w:pPr>
        <w:pStyle w:val="TextBody"/>
        <w:bidi w:val="0"/>
        <w:spacing w:before="0" w:after="0"/>
        <w:jc w:val="left"/>
        <w:rPr/>
      </w:pPr>
      <w:r>
        <w:rPr/>
        <w:t> </w:t>
      </w:r>
    </w:p>
    <w:p>
      <w:pPr>
        <w:pStyle w:val="TextBody"/>
        <w:bidi w:val="0"/>
        <w:spacing w:before="0" w:after="0"/>
        <w:jc w:val="left"/>
        <w:rPr/>
      </w:pPr>
      <w:r>
        <w:rPr/>
        <w:drawing>
          <wp:inline distT="0" distB="0" distL="0" distR="0">
            <wp:extent cx="7321550" cy="4116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21550" cy="41160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and Essential Utilities was included in an email sent by John Griffith, President and Chief Executive Officer of American Water, to employees of American Water on July 29, 2026. </w:t>
      </w:r>
    </w:p>
    <w:p>
      <w:pPr>
        <w:pStyle w:val="TextBody"/>
        <w:bidi w:val="0"/>
        <w:spacing w:before="240" w:after="0"/>
        <w:jc w:val="left"/>
        <w:rPr>
          <w:rFonts w:ascii="Times New Roman" w:hAnsi="Times New Roman"/>
          <w:sz w:val="20"/>
        </w:rPr>
      </w:pPr>
      <w:r>
        <w:rPr>
          <w:rFonts w:ascii="Times New Roman" w:hAnsi="Times New Roman"/>
          <w:sz w:val="20"/>
        </w:rPr>
        <w:t xml:space="preserve">The achievements so far this year are even more remarkable when we consider that all of this work has been done alongside our planned integration and merger with Essential Utilities. We have received three state regulatory approvals so far with a settlement in principle in Texas and remain on track to close in the first quarter of 2027. </w:t>
      </w:r>
    </w:p>
    <w:p>
      <w:pPr>
        <w:pStyle w:val="TextBody"/>
        <w:bidi w:val="0"/>
        <w:spacing w:before="36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before="360" w:after="0"/>
        <w:jc w:val="left"/>
        <w:rPr>
          <w:rFonts w:ascii="Times New Roman" w:hAnsi="Times New Roman"/>
          <w:b/>
          <w:sz w:val="20"/>
        </w:rPr>
      </w:pPr>
      <w:r>
        <w:rPr>
          <w:rFonts w:ascii="Times New Roman" w:hAnsi="Times New Roman"/>
          <w:b/>
          <w:sz w:val="20"/>
        </w:rPr>
        <w:t>Proposed Merger</w:t>
      </w:r>
    </w:p>
    <w:p>
      <w:pPr>
        <w:pStyle w:val="TextBody"/>
        <w:bidi w:val="0"/>
        <w:spacing w:before="120" w:after="0"/>
        <w:jc w:val="left"/>
        <w:rPr>
          <w:rFonts w:ascii="Times New Roman" w:hAnsi="Times New Roman"/>
          <w:sz w:val="20"/>
        </w:rPr>
      </w:pPr>
      <w:r>
        <w:rPr>
          <w:rFonts w:ascii="Times New Roman" w:hAnsi="Times New Roman"/>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before="360" w:after="0"/>
        <w:jc w:val="left"/>
        <w:rPr>
          <w:rFonts w:ascii="Times New Roman" w:hAnsi="Times New Roman"/>
          <w:b/>
          <w:sz w:val="20"/>
        </w:rPr>
      </w:pPr>
      <w:r>
        <w:rPr>
          <w:rFonts w:ascii="Times New Roman" w:hAnsi="Times New Roman"/>
          <w:b/>
          <w:sz w:val="20"/>
        </w:rPr>
        <w:t>No Offer or Solicitation</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1612</Words>
  <Characters>9484</Characters>
  <CharactersWithSpaces>11092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